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D74EC" w14:textId="77777777" w:rsidR="00474C2A" w:rsidRDefault="00474C2A" w:rsidP="00474C2A">
      <w:pPr>
        <w:pStyle w:val="4"/>
        <w:shd w:val="clear" w:color="auto" w:fill="FFFFFF"/>
        <w:spacing w:before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ЧИТИНСКАЯ МЕЖРАЙОННАЯ ПРИРОДООХРАННАЯ ПРОКУРАТУРА</w:t>
      </w:r>
      <w:r>
        <w:rPr>
          <w:rFonts w:ascii="Arial" w:hAnsi="Arial" w:cs="Arial"/>
          <w:b/>
          <w:bCs/>
          <w:color w:val="333333"/>
        </w:rPr>
        <w:br/>
        <w:t>разъясняет:</w:t>
      </w:r>
    </w:p>
    <w:p w14:paraId="554B48EA" w14:textId="77777777" w:rsidR="00474C2A" w:rsidRDefault="00474C2A" w:rsidP="00474C2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соответствии с Конституцией РФ каждый имеет право на благоприятную окружающую среду, при этом обязан сохранять природу, бережно относиться к природным богатствам; природные ресурсы используются и охраняются в Российской Федерации как основа жизни и деятельности народов, проживающих на соответствующей территории (ст. 9, ч. 1 ст. 42, ст. 58 Конституции РФ).</w:t>
      </w:r>
      <w:r>
        <w:rPr>
          <w:rFonts w:ascii="Arial" w:hAnsi="Arial" w:cs="Arial"/>
          <w:color w:val="333333"/>
          <w:sz w:val="20"/>
          <w:szCs w:val="20"/>
        </w:rPr>
        <w:br/>
        <w:t>О водных биологических ресурсах:</w:t>
      </w:r>
      <w:r>
        <w:rPr>
          <w:rFonts w:ascii="Arial" w:hAnsi="Arial" w:cs="Arial"/>
          <w:color w:val="333333"/>
          <w:sz w:val="20"/>
          <w:szCs w:val="20"/>
        </w:rPr>
        <w:br/>
        <w:t xml:space="preserve">Согласно статье 26 Федерального закона от 20.12.2004 № 166-ФЗ «О рыболовстве и сохранении водных биологических ресурсов» в целях сохранения водных биоресурсов и среды их обитания запрещается ввоз на территорию Российской Федерации рыболовных сетей из синтетических материалов,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электроловильных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систем.</w:t>
      </w:r>
      <w:r>
        <w:rPr>
          <w:rFonts w:ascii="Arial" w:hAnsi="Arial" w:cs="Arial"/>
          <w:color w:val="333333"/>
          <w:sz w:val="20"/>
          <w:szCs w:val="20"/>
        </w:rPr>
        <w:br/>
        <w:t xml:space="preserve">Постановлением Правительства РФ от 20.08.2009 № 694 утвержден Перечень запрещенных к ввозу на территорию Российской Федерации орудий добычи (вылова) водных биологических ресурсов. Так, к запрещенным товарам отнесены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электроловильные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системы и устройства, состоящие из электрических генераторов сигналов, с подсоединенными проводниками и аккумулятором (батарей), совместно выполняющие функцию добычи (вылова) водных биологических ресурсов посредством электрического тока.</w:t>
      </w:r>
      <w:r>
        <w:rPr>
          <w:rFonts w:ascii="Arial" w:hAnsi="Arial" w:cs="Arial"/>
          <w:color w:val="333333"/>
          <w:sz w:val="20"/>
          <w:szCs w:val="20"/>
        </w:rPr>
        <w:br/>
        <w:t>Приказами Минсельхоза России, утверждающими для различных бассейнов (например Байкальского рыбохозяйственного бассейна) правила рыболовства, запрещается осуществлять добычу (вылов) водных биоресурсов с применением орудий и способов добычи (вылова), воздействующих на водные биоресурсы электрическим током.</w:t>
      </w:r>
      <w:r>
        <w:rPr>
          <w:rFonts w:ascii="Arial" w:hAnsi="Arial" w:cs="Arial"/>
          <w:color w:val="333333"/>
          <w:sz w:val="20"/>
          <w:szCs w:val="20"/>
        </w:rPr>
        <w:br/>
        <w:t xml:space="preserve">В сети «Интернет» зачастую размещаются материалы, содержащие публичную оферту (предложение) о продаже различного рода приборов для незаконного лова рыбы, чаще всего такие предложения касаются продажи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электроудочек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Электроудочка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– прибор для ловли рыбы с помощью подачи в воду электрического разряда; ловля рыбы с помощью электричества называется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электроловом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несет за собой катастрофические последствия для ихтиофауны от воздействия мощных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электроразрядов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br/>
        <w:t xml:space="preserve">Таким образом,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электроудочка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как один из методов браконьерского лова запрещена законодательством РФ. Свободный доступ к таким сайтам в сети «Интернет» о продаже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электроудочек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не соответствует требованиям закона.</w:t>
      </w:r>
      <w:r>
        <w:rPr>
          <w:rFonts w:ascii="Arial" w:hAnsi="Arial" w:cs="Arial"/>
          <w:color w:val="333333"/>
          <w:sz w:val="20"/>
          <w:szCs w:val="20"/>
        </w:rPr>
        <w:br/>
        <w:t xml:space="preserve">Учитывая, что приобретение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электроудочек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может повлечь причинение ущерба водным биологическим ресурсам, которые являются собственностью Российской Федерации, доступ пользователям сети «Интернет» к указанной информации противоречит положениям Конституции РФ и федеральному законодательству. В этой связи такие сайты подлежат закрытию.</w:t>
      </w:r>
      <w:r>
        <w:rPr>
          <w:rFonts w:ascii="Arial" w:hAnsi="Arial" w:cs="Arial"/>
          <w:color w:val="333333"/>
          <w:sz w:val="20"/>
          <w:szCs w:val="20"/>
        </w:rPr>
        <w:br/>
        <w:t>Частью 1 статьи 256 УК РФ установлена уголовная ответственность за незаконную добычу (вылов) водных биологических ресурсов, если это деяние совершено, в том числе, с применением самоходного транспортного плавающего средства или взрывчатых и химических веществ, электротока либо иных способов массового истребления указанных водных животных и растений. Административная ответственность за нарушение правил рыболовства предусмотрена статьями 8.17 и 8.37 КоАП РФ.</w:t>
      </w:r>
      <w:r>
        <w:rPr>
          <w:rFonts w:ascii="Arial" w:hAnsi="Arial" w:cs="Arial"/>
          <w:color w:val="333333"/>
          <w:sz w:val="20"/>
          <w:szCs w:val="20"/>
        </w:rPr>
        <w:br/>
        <w:t>Об изменениях лесного законодательства:</w:t>
      </w:r>
      <w:r>
        <w:rPr>
          <w:rFonts w:ascii="Arial" w:hAnsi="Arial" w:cs="Arial"/>
          <w:color w:val="333333"/>
          <w:sz w:val="20"/>
          <w:szCs w:val="20"/>
        </w:rPr>
        <w:br/>
        <w:t>С 01 января 2019 года вступают в силу изменения в Лесной кодекс Российской Федерации, а именно в статью 32, которые позволяют гражданам свободно собирать в лесу валежник для собственных нужд.</w:t>
      </w:r>
      <w:r>
        <w:rPr>
          <w:rFonts w:ascii="Arial" w:hAnsi="Arial" w:cs="Arial"/>
          <w:color w:val="333333"/>
          <w:sz w:val="20"/>
          <w:szCs w:val="20"/>
        </w:rPr>
        <w:br/>
        <w:t>В Лесном кодексе РФ не содержится понятие «валежник», однако на практике не должно возникнуть вопросов, так как содержание данного термина является устоявшимся.</w:t>
      </w:r>
      <w:r>
        <w:rPr>
          <w:rFonts w:ascii="Arial" w:hAnsi="Arial" w:cs="Arial"/>
          <w:color w:val="333333"/>
          <w:sz w:val="20"/>
          <w:szCs w:val="20"/>
        </w:rPr>
        <w:br/>
        <w:t>Итак, валежник – это стволы деревьев, ветки и иные их части, а также кустарники и их части, упавшие на землю в силу разных естественных причин (бурелом, ветровал, ураган), сухие и гниющие.</w:t>
      </w:r>
      <w:r>
        <w:rPr>
          <w:rFonts w:ascii="Arial" w:hAnsi="Arial" w:cs="Arial"/>
          <w:color w:val="333333"/>
          <w:sz w:val="20"/>
          <w:szCs w:val="20"/>
        </w:rPr>
        <w:br/>
        <w:t xml:space="preserve">Частью 1 статьи 11 Лесного кодекса РФ установлено, что граждане имеют право свободно и бесплатно пребывать в лесах и для собственных нужд осуществлять заготовку и сбор дикорастущих плодов, ягод, орехов, грибов, других пригодных для употребления в пищу лесных ресурсов (пищевых лесных ресурсов), а также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недревесных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лесных ресурсов.</w:t>
      </w:r>
      <w:r>
        <w:rPr>
          <w:rFonts w:ascii="Arial" w:hAnsi="Arial" w:cs="Arial"/>
          <w:color w:val="333333"/>
          <w:sz w:val="20"/>
          <w:szCs w:val="20"/>
        </w:rPr>
        <w:br/>
        <w:t xml:space="preserve">Указанные изменения не только направлены на обеспечения законности сбора гражданами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недревесных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ресурсов в виде валежника, к которым ранее, до изменений законодательства, лесное законодательство относило лишь пни, бересту,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кору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деревьев и кустарников, хворост, веточный корм, еловую, пихтовую, сосновую лапу, но и способствует своевременной очистке лесов, что благоприятно влияет на пожароопасную обстановку в лесах.</w:t>
      </w:r>
      <w:r>
        <w:rPr>
          <w:rFonts w:ascii="Arial" w:hAnsi="Arial" w:cs="Arial"/>
          <w:color w:val="333333"/>
          <w:sz w:val="20"/>
          <w:szCs w:val="20"/>
        </w:rPr>
        <w:br/>
        <w:t>О прибрежных полосах водных объектов:</w:t>
      </w:r>
      <w:r>
        <w:rPr>
          <w:rFonts w:ascii="Arial" w:hAnsi="Arial" w:cs="Arial"/>
          <w:color w:val="333333"/>
          <w:sz w:val="20"/>
          <w:szCs w:val="20"/>
        </w:rPr>
        <w:br/>
        <w:t xml:space="preserve">Статьей 6 Водного кодекса РФ установлено, что полоса земли вдоль береговой линии водного объекта общего пользования (береговая полоса) шириной 20 метров (за исключением каналов, рек и ручьев, протяженностью не более чем 10 км) предназначена для общего пользования, т.е. каждый </w:t>
      </w:r>
      <w:r>
        <w:rPr>
          <w:rFonts w:ascii="Arial" w:hAnsi="Arial" w:cs="Arial"/>
          <w:color w:val="333333"/>
          <w:sz w:val="20"/>
          <w:szCs w:val="20"/>
        </w:rPr>
        <w:lastRenderedPageBreak/>
        <w:t>гражданин вправе пользоваться (без использования механических транспортных средств) данной полосой для передвижения и пребывания около них без каких-либо разрешений и ограничений, в том числе для осуществления любительского и спортивного рыболовства и причаливания плавучих средств.</w:t>
      </w:r>
      <w:r>
        <w:rPr>
          <w:rFonts w:ascii="Arial" w:hAnsi="Arial" w:cs="Arial"/>
          <w:color w:val="333333"/>
          <w:sz w:val="20"/>
          <w:szCs w:val="20"/>
        </w:rPr>
        <w:br/>
        <w:t>Из этого следует, что в границах данной земельной полосы строительство каких-либо объектов, а также установка различного рода ограждений являются незаконными, если это не предусмотрено Водным кодексом или другими Федеральными законами.</w:t>
      </w:r>
    </w:p>
    <w:p w14:paraId="44392847" w14:textId="77777777" w:rsidR="00474C2A" w:rsidRDefault="00474C2A" w:rsidP="00474C2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  <w:t>20.12.2018</w:t>
      </w:r>
    </w:p>
    <w:p w14:paraId="69236F6D" w14:textId="77777777" w:rsidR="007651D4" w:rsidRPr="00474C2A" w:rsidRDefault="007651D4" w:rsidP="00474C2A"/>
    <w:sectPr w:rsidR="007651D4" w:rsidRPr="0047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D4"/>
    <w:rsid w:val="001A40B1"/>
    <w:rsid w:val="00235966"/>
    <w:rsid w:val="00474C2A"/>
    <w:rsid w:val="004C0E13"/>
    <w:rsid w:val="007651D4"/>
    <w:rsid w:val="009E0EF9"/>
    <w:rsid w:val="00F3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BAD55-AB46-4C5B-A8EE-8178F5B6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0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D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0E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C0E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0E1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34D3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2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6613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7</cp:revision>
  <dcterms:created xsi:type="dcterms:W3CDTF">2020-05-17T21:10:00Z</dcterms:created>
  <dcterms:modified xsi:type="dcterms:W3CDTF">2020-05-17T21:16:00Z</dcterms:modified>
</cp:coreProperties>
</file>